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материального и процессуального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Исследовав и оценив по представленные в материалы дела доказательства по правилам статьи 71 Арбитражного процессуального кодекса Российской Федерации, проанализировав условия спорного договора, квалифицировав 2 его как смешанный, содержащий элементы договора оказания услуг в части предоставления персонала и элементы договора подряда в части выполнения строительно-монтажных работ, суды пришли к выводу о том, что оплата выполненных объемов работ должна быть произведена исходя из почасовой выработки объемов работ. Принимая во внимание сделанные экспертом в рамках судебной экспертизы выводы о стоимости фактически выполненных специалистами истца за период с апреля по июль 2019 года работ при монтаже технологических трубопроводов и металлоконструкций, частичную оплату ответчиком оказанных услуг, проведенный между сторонами зачет встречных однородных требований, уменьшение в силу пункта 2.5 договора суммы оплаты на 5% ввиду неподписания акта законченного строительством объекта КС-11, суды установили, что подлежащий взысканию с ответчика долг составляет 8 649 933 руб. 98 коп. Исходя из установленной суммы долга, суды произвели перерасчет неустойки и, руководствуясь статьями 8, 153, 154, 307, 329, 330, 421, 431, 432, 702, 711, 753, 779, 781 Гражданского кодекса Российской Федерации, частично удовлетворили исковые требования.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«ЭнергоРесурс»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