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кассационной жалобе, поданной в Верховный Суд Российской Федерации, заявитель, ссылаясь на нарушение судами норм права, просит пересмотреть указанные судебные акты в кассационном порядке.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Отказывая в удовлетворении иска и подтверждая правильность этого вывода, суды,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8, 12, 614, 623, 1102, 2 1105 Гражданского кодекса Российской Федерации, исходили из недоказанности неосновательного обогащения ответчика за счет истца.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со ссылкой на положения норм действующего законодательства применительно к установленным фактическим обстоятельствам дела.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Новоселова Павла Юрьевича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