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Псковской области от 09.06.2022, оставленным без изменения постановлением Четырнадцатого арбитражного апелляционного суда от 19.08.2022 и постановлением Арбитражного суда Северо-Западного округа от 29.11.2022, разногласия разрешены, во включении имущества в конкурсную массу отказано. В кассационных жалобах заявители просят об отмене судебных актов, ссылаясь на отсутствие у жилого дома статуса единственного жилья в связи с передачей его на основании судебного акта кредитору, искусственное придание дому исполнительского иммунитета, чрезмерность земельного участка.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Довод о нарушении части 3 статьи 69 Арбитражного процессуального кодекса Российской Федерации неоснователен, поскольку переданный по судебному решению кредитору спорный жилой дом по другому судебному решению возвращен в конкурсную массу. Довод об искусственном придании дому статуса единственного жилья исследован и мотивированно отклонен. Исходя из установленной стоимости спорного имущества суды признали не отвечающим целям процедур банкротства ограничение исполнительского иммунитета.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Разуленко Олегу Аркадьевичу, Пономаренко Константину Викторовичу и Думновой Елене Сергеевне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