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19.04.2022, оставленным без изменения постановлением Девятого арбитражного апелляционного суда от 08.08.2022 и постановлением Арбитражного суда Московского округа от 26.10.2022, иск удовлетворен в части взыскания 2 923 300 рублей задолженности и 152 312 рублей 13 копеек процентов. В кассационной жалобе общество «Сим-Транс Групп» просит об отмене судебных актов в части отказа во взыскании штрафной неустойки и убытков, ссылаясь на несоответствие их договору.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за нарушение срока оборота вагонов с ответчика подлежит взысканию согласованная договором от 18.03.2021 № 21 СТ-17 удвоенная ставка тарифа, на сумму которого истцом начислены законные проценты. Условия для взыскания договорной штрафной неустойки и убытков в исследованных обстоятельствах исполнения договора суды признали отсутствующими. Требуемое изменение оценки исполнения обязательств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«Сим-Транс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