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450, 453, 702, 708, 711, 715, 717, 723, 753, 1102 Гражданского кодекса Российской Федерации, суды удовлетворили иск, исходя из доказанности истцом (заказчик) 2 завышения и невыполнения ответчиком (исполнитель) объемов работ в рамках спорных договоров и наличия переплаты со стороны заказчика в заявленной сумме. Окружной суд не установил нарушения судами первой и апелляционной инстанций норм процессуального права. Поскольку приведенные в кассационной жалобе доводы не опровергают выводы судов, направлены на переоценку установленных по делу обстоятельств, не подтверждают существенных нарушений судами норм материального и (или) процессуального права, повлиявших на исход дела, не имеется предусмотренных статьями 291.6 и 291.11 Арбитражного процессуального кодекса Российской Федерации оснований для передачи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«Строительная компания «Технология»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