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31.05.2022, оставленным без изменения постановлением Восемнадцатого арбитражного апелляционного суда от 08.08.2022 и постановлением Арбитражного суда Уральского округа от 03.11.2022, процедура реализации имущества должника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