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обстоятельства, установленные вступившим 2 в законную силу судебным актом по делу № А32-50206/2021, руководствуясь статьями 702, 711, 758, 760, 762 Гражданского кодекса Российской Федерации, суды первой и апелляционной инстанций, с которыми впоследствии согласился суд округа, пришли к выводу об отсутствии оснований для удовлетворения иска, исходя из недоказанности истцом факта передачи ответчику надлежащего результата работ до момента расторжения спорного договора.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«Центр судебных строительно-технических экспертиз и оценки зданий и сооружений»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