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в кассационном порядке указанный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 исследовали все обстоятельства, имеющие существенное значение для правильного разрешения спора, и не дали оценку доводам истца.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«Портовая особая экономическая зона «Ульяновск»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