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февраля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Костромской области от 20.05.2022, оставленным без изменения постановлением Второго арбитражного апелляционного суда от 18.08.2022 и постановлением Арбитражного суда Волго-Вятского округа от 18.11.2022, в удовлетворении заявления Соколова Н.М. об исправлении описки, допущенной в определении Арбитражного суда Костромской области от 22.04.2022, отказано. В кассационной жалобе Соколов Н.М. просит отменить судебные акты как незаконные.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2 Таких оснований в связи с доводами жалобы не усматривается. Изменение существа мотивировочной части определения, требуемое Соколовым Н.М., не попадает под случаи применения статьи 179 Арбитражного процессуального кодекса Российской Федерации, поэтому заявление правомерно отклонено. Руководствуясь статьями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Соколову Николаю Михайловичу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