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27.06.2022, оставленным без изменения постановлением Десятого арбитражного апелляционного суда от 29.08.2022 и постановлением Арбитражного суда Московского округа от 17.11.2022, заявление удовлетворено. В кассационной жалобе Боровинских В.С.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Суды установили условия для недействительности договора в силу пункта 2 статьи 61.2 Федерального закона от 26.10.2002 № 127-ФЗ «О несостоятельности (банкротстве)», требуемая переоценка которых не создает обозначенных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Боровинских Валерию Семеновичу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