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03.08.2022, оставленным без изменения постановлением Арбитражного суда Волго- Вятского округа от 29.11.2022,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