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12, 309, 310, 329, 330, 421, 702, 708, 711, 753 Гражданского кодекса Российской Федерации, 2 суды отказали в первоначальном иске и удовлетворили встречные требования, исходя из установленных обстоятельств выполнения ответчиком (субподрядчик) спорных работ, отсутствия замечаний истца (заказчик) по объему и качеству выполненных работ, недоказанности нарушения субподрядчиком срока выполнения работ и оснований для взыскания с него неустойки, как и гарантийного удержания.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«Триал 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