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31.03.2022, оставленным без изменения постановлением Девятого арбитражного апелляционного суда от 19.07.2022 и постановлением Арбитражного суда Московского округа от 02.11.2022, иск удовлетворен. В кассационной жалобе предприниматель просит об отмене судебных актов, ссылаясь на недоказанность передачи груза, отсутствие между сторонами отношений по перевозке.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Убытки в связи с утратой груза возложены на ответчика по факту принятия груза к перевозке и недоказанности обстоятельств, освобождающих от ответственности в силу статей 15 , 393 , 803 Гражданского кодекса Российской Федерации. Вывод о наличии между сторонами правоотношений по перевозке, в процессе которой утрачен груз, основан на исследованных доказательствах.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"КАЛИПСОШУЗ" (подробнее) Судьи дела: Ксенофонтова Н.А.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