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в кассационном порядке указанные судебные акты в части отказа во взыскании с ответчика неосновательного обогащения по приложению № 3 к договору на оказание услуг и процентов.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309, 310, 395, 782 1102 Гражданского кодекса Российской Федерации, суды пришли к выводу об отсутствии оснований для взыскания с ответчика неосновательного обогащения по спорному соглашению к договору, исходя из установленных обстоятельств оказания последним услуг и принятия их истцом.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Приведенные в кассационной жалобе доводы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«Холдинг Кабельный Альянс»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