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Несогласие заявителя с выводами судов, иная оценка фактических обстоятельств дела, направленная на их повторное исследование, не являются основанием для пересмотра судебных актов Судебной коллегией Верховного Суда Российской Федерации.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«КВАРЦ»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"Кварц" (подробнее) ООО "Новая эра" (подробнее) Ответчики: Управление Федеральной антимонопольной службы по г. Москве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