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29.04.2021 (согласно отметке почтового органа на конверте) обратился в Верховный Суд Российской Федерации с жалобой на определение судьи Верховного Суда Российской Федерации от 15.04.2021 № 309-ЭС21-4278, постановление Семнадцатого арбитражного апелляционного суда от 17.09.2020 и постановление Арбитражного суда Уральского округа от 18.12.2020 по делу № А50-30272/2019 Арбитражного суда Пермского края, заявив при этом ходатайство о восстановлении пропущенного процессуального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05.02.2007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Причины пропуска рассматриваемого срока, приведенные заявителем, к числу уважительных не относятся.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процессуального срока отказать. Жалобу возвратить заявителю.Судья Верховного Суда Российской Федерации В.В. Попов Суд: Верховный Суд РФ (подробнее) Истцы: ООО "Дорос" (подробнее) Иные лица: Межрайонная ИФНС №18 по ПК (подробнее) Судьи дела: Попов В.В.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