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фактических обстоятельств дела, направленная на их повторное исследование, не являются 2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«Карнавал-2»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