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22.04.2022. Определением Арбитражного суда Костромской области от 20.05.2022, оставленным без изменения постановлением Второго арбитражного апелляционного суда от 18.08.2022 и постановлением Арбитражного суда Волго-Вятского округа от 18.11.2022,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