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 Арбитражный суд Костромской области обратился должник с заявлением об исправлении описки в определении суда от 06.05.2022. Определением Арбитражного суда Костромской области от 25.05.2022, оставленным без изменения постановлением Второго арбитражного апелляционного суда от 18.08.2022 и постановлением Арбитражного суда Волго-Вятского округа от 18.11.2022, в удовлетворении заявления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Не установив наличия в определении суда первой инстанции каких-либо описок, опечаток, препятствующих пониманию принятого судебного акта и требующих исправления в порядке статьи 179 Арбитражного процессуального кодекса Российской Федерации, установив, что заявление должника об исправлении описки направлено на изменение содержания судебного акта, суды отказали в его удовлетворении.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