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права, несоответствие выводов судов фактическим обстоятельствам дела,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представленные в материалы дела доказательства, руководствуясь положениями гражданского законодательства и законодательства, регулирующего обращение с твердыми коммунальными 2 отходами (далее – ТКО) и порядок их коммерческого учета объема и (или) массы, установив факт оказания истцом (региональный оператор) ответчику в спорный период услуг по обращению с ТКО на условиях типового договора, отсутствие доказательств ненадлежащего оказания истцом услуг либо оказания таких услуг иной организацией, как и доказательств оплаты ответчиком оказанных услуг, проверив представленный истцом расчет и признав его верным, суды первой и апелляционной инстанций пришли к выводу о наличии оснований для удовлетворения иска, с чем впоследствии согласился суд округа.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садоводческого некоммерческого товарищества «Приморье»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