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в кассационном порядке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иска и подтверждая правильность этого вывода, суды, исследовав и оценив представленные в материалы дела доказательства, руководствуясь положениями законодательства, 2 регулирующего спорные правоотношения, исходили из недоказанности неосновательного обогащения ответчика за счет истца. Приведенные в кассационной жалобе доводы направлены на переоценку представленных в материалы дела доказательств и установленных судами фактических обстоятельств дела,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акционерного общества «Эникарго»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