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Камалова Д.Е. в Арбитражный суд Ростовской области обратилось АО «Банк Дом.РФ» с заявлением о включении в реестр требований кредиторов должника как обеспеченного залогом требования в размере 1 766 779 рублей 26 копеек, возникшего из кредитного договора от 23.09.2014 № 02-003/ВИ-14. Определением Арбитражного суда Ростовской области от 07.02.2022 в удовлетворении заявления банка отказано. Постановлением Пятнадцатого арбитражного апелляционного суда от 20.07.2022 определение суда первой инстанции оставлено без изменения. Арбитражный суд Северо-Кавказского округа постановлением от 23.11.2022 указанные судебные акты отменил и направил обособленный спор на новое рассмотрение в Арбитражный суд Ростовской области. Финансовый управляющий Борохов Ю.А. обратился в Судебную коллегию по экономическим спорам Верховного Суда Российской Федерации с кассационной жалобой на постановление суда округа в порядке, предусмотренном статьями 291.1-291.3 Арбитражного процессуального кодекса Российской Федерации,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2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 не установлено. Отменяя принятые судебные акты и направляя обособленный спор на новое рассмотрение в арбитражный суд первой инстанции для установления обстоятельств, имеющих значение для правильного рассмотрения спора, а также полного и всестороннего исследования и оценки представленных доказательств, с учетом доводов и возражений лиц, участвующих в споре, окружной суд действовал в пределах полномочий, предусмотренных статьями 287, 288 Арбитражного процессуального кодекса Российской Федерации, руководствовался статьями 213.8, 213.11 Федерального закона от 26.10.2002 № 127-ФЗ «О несостоятельности (банкротстве)», положениями Федерального закона от 20.08.2004 № 117-ФЗ «О накопительно-ипотечной системе жилищного обеспечения военнослужащих» и исходил из того, что статус участника накопительно-ипотечной системы жилищного обеспечения военнослужащих не влияет на обязанность должника исполнить кредитные обязательства перед банком, учитывая, что в связи с признанием должника банкротом срок исполнения обязательств по кредитному договору считается наступившим.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