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Отказывая в удовлетворении заявления общества, суды трех инстанций, руководствуясь положениями статьи 93.1 Налогового кодекса Российской Федерации, исходили из того, что требования о представлении документов (информации) выставлены инспекцией вне рамок проведения налоговой проверки в связи с необходимостью получения сведений относительно конкретных сделок с определенными контрагентами и осуществления налогового контроля. При этом судами отмечено, что требования содержали все необходимые сведения, позволяющие идентифицировать запрашиваемые документы, а отсутствие в них указания на проведение конкретного мероприятия налогового контроля не свидетельствует о недействительности требований, поскольку данный недостаток носит формальный характер и не препятствует реализации налоговым органом полномочий, предусмотренных пунктом 2 статьи 93.1 Налогового кодекса Российской Федерации. Доводы общества об отсутствии у налогового органа правовых оснований для истребования информации не основаны на положениях пункта 2 статьи 93.1 Налогового кодекса Российской Федерации, учитывая установленную судами обоснованность необходимости такого запроса.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«Завод Магнетон»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ОАО "Завод Магнетон" (подробнее) Ответчики: Межрайонная инспекция Федеральной налоговой службы №17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