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 должника на общую сумму 184 796 903 рубля 52 копейки. Впоследствии в отдельное производство выделено требование конкурсного управляющего к акционерному обществу акционерному коммерческому банку «Алмазэргиэнбанк» (далее – банк) о признании недействительными платежей, совершённых в период с 23.05.2019 по 25.09.2019 на общую сумму 128 371 673 рубля 72 копейки. Определением Арбитражного суда Республики Саха (Якутия) от 20.01.2022, оставленным без изменения постановлениями Четвёртого арбитражного апелляционного суда от 14.06.2022 и Арбитражного суда Восточно-Сибирского округа от 19.10.2022,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61.3, 61.4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платежей, совершённых в пределах обычной хозяйственной деятельности в пользу неосведомлённого о неплатёжеспособности должника банка.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«Страховая компания «Стерх» –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