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податель жалобы просит об отсрочке уплаты государственной пошлины, представляя справку обслуживающего банка о состоянии счетов, принадлежность которых подтверждает сведениями налогового органа.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Суд счел ходатайство обоснованным и подлежащим удовлетворению. Руководствуясь статьей 184 Арбитражного процессуального кодекса Российской Федерации, статьей 333.22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обществу с ограниченной ответственностью «Комплект Сервис» отсрочку уплаты государственной пошлины до окончания производства по поданной им кассационной жалобе.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