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24.08.2022, оставленным без изменения постановлением того же суда от 18.11.2022,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