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29.04.2022, оставленным без изменения постановлением Девятого арбитражного апелляционного суда от 02.08.2022 и постановлением Арбитражного суда Московского округа от 17.10.2022, в удовлетворении заявления отказано. В кассационной жалобе ФИО1 просит об отмене судебных актов, ссылаясь на лишение права на участие в рассмотрении дела, неисследование доводов заявителя.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Рассмотрение дела в отсутствие надлежаще извещенного участника процесса не является процессуальным нарушением и не создает оснований для пересмотра судебного акта. Доводы заявителя о нарушениях при проведении торгов исследованы и получили оценку, не подлежащую изменению в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№25 по г. Москве (подробнее) ООО Дом Кофе (подробнее) Иные лица: ГУ МО ГИБДД ТРРЭР №2 МВД по г. Москве (подробнее) ГУ Центр адресно-справочной работы УВМ МВД России по г.Москве (подробнее) ООО "Брэк Кэпитал Девелопментс" Раша (подробнее) Федеральная служба по интеллектуальной собственности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