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Пермского края от 26.05.2022, оставленным без изменения постановлением Семнадцатого арбитражного апелляционного суда от 04.08.2022 и постановлением Арбитражного суда Уральского округа от 14.11.2022, в удовлетворении заявления отказано. В кассационной жалобе ФИО1 просит об отмене судебных актов, ссылаясь на несоответствие выводов судов фактическим обстоятельствам и представленным доказательствам.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заключения оспариваемых договоров суды не усмотрели превышения сторонами пределов осуществления гражданских прав с целью причинения вреда кредиторам должника, необходимого для признания договоров недействительными в силу статей 10 , 168 Гражданского кодекса Российской Федерации Иная оценка тех же обстоятельств спора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Ассоциация "Региональная саморегулируемая организация профессиональных арбитражных управляющих" (подробнее) Иные лица: Межрайонная ИФНС России №11 по Пермскому краю (подробнее) НП СРО ОАУ "Авангард" (подробнее) Союз арбитражных управляющих "Авангард" (подробнее) Территориальное управление Министерства социального развития Пермского края по городу Перми (подробнее) ФГБУ "Федеральная кадастровая палата Федеральной службы государственной регистрации, кадастра и картографии"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