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Отказывая в удовлетворении заявленных требований, суды трех инстанций принимая во внимание разъяснения, изложенные в пункте 31 постановления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пришли к выводу о том, что требование направлено заявителю в пределах установленного законом срока, рассчитываемого с даты вступления в силу решения по результатам выездной налоговой проверки, являющегося основанием для совершения налоговым органом последующих действий по взысканию задолженности и вынесению оспариваемого решения о взыскании. Доводы, изложенные в кассационной жалобе, основаны на ошибочном применении положений законодательства к установленным обстоятельствам дела.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«Независимый центр сертификации и испытаний»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"Независимый центр сертификации и испытаний" (подробнее) ООО "НЦСИ" (подробнее) Ответчики: Инспекция Федеральной налоговой службы №5 по городу Краснодару (подробнее) ИФНС №5 России по КК (подробнее) ИФНС России №5 по г. Краснодар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