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18.04.2022, оставленным без изменения постановлением Девятого арбитражного апелляционного суда от 02.08.2022 и постановлением Арбитражного суда Московского округа от 22.11.2022, в удовлетворении иска отказано. В кассационной жалобе общество «Автоград» просит об отмене судебных актов, ссылаясь на ненадлежащие исследование и оценку обстоятельств спора, нерассмотрение требования о взыскании упущенной выгоды.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признали ответчика обязанным возместить убытки вследствие покрытия их страховой выплатой, полученной истцом, и отказали в иске в соответствии со статями 15, 393, 801, 929 Гражданского кодекса Российской Федерации и статье 7 Федерального закона от 30.06.2003 № 87-ФЗ «О транспортно-экспедиционной деятельности». Доводы, приведенные в кассационной жалобе, являлись предметом рассмотрения судов, получили надлежащую правовую оценку. Требуемая переоценка выводов судов в отношении условий применения ответственности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