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Тульской области от 31.03.2022, оставленным без изменения постановлением Двадцатого арбитражного апелляционного суда от 01.08.2022 и постановлением Арбитражного суда Центрального округа от 26.10.2022, иск удовлетворен частично. В кассационной жалобе общество « СПАР Тула» просит об отмене судебных актов вследствие неправомерного уменьшения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Установление в пределах данного дела обстоятельств, создающих условия для уменьшения неустойки (статья 333 Гражданского кодекса Российской Федерации), является компетенцией судов, рассматривающих дело по правилам для суда первой инстанции, и связанные с такими обстоятельствами доводы не отвечают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«СПАР Тула»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