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наличие на стороне ответчика задолженности, 2 впоследствии новированной в заемной обязательство, руководствуясь статьями 414, 807, 807, 818, 811 Гражданского кодекса Российской Федерации, суды первой и апелляционной инстанций удовлетворили исковые требования, с чем впоследствии согласился суд округа.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«Лукиавиатранс»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