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09.02.2023 повторно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Заявитель являлся инициатором кассационного обжалования в суде округа, судебный акт своевременно размещен в информационной базе «Картотека арбитражных дел» сети Интернет. Таким образом, заявитель знал о состоявшихся судебных актах и, намереваясь обжаловать постановление суда кассационной инстанции, имел реальную возможность в предусмотренный законодательством срок принять своевременные меры, необходимые для подготовки и подачи первоначальной кассационной жалобы в установленном порядке.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Вместе с тем, такие требования не исполнены обществом уже при первоначальном обращении с кассационной жалобой в Верховный Суд Российской Федерации. Нарушение порядка подачи кассационной жалобы,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силу пункта 3 части 1 статьи 2915 Кодекса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Производственная фирма «Аленд»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ООО Производственная фирма "Аленд" (подробнее) Ответчики: Межрайонная ИФНС России №3 по Республике Коми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