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жалобы, в том числе со ссылкой на судебную практику,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Иное толкование заявителем жалобы норм материального права не свидетельствует о неправильном применении их судами с учетом установленных обстоятельств дела.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«Победитель тендера»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"Победитель Тендера" (подробнее) Ответчики: ФЕДЕРАЛЬНОЕ КАЗЕННОЕ УЧРЕЖДЕНИЕ "ГЛАВНЫЙ ЦЕНТР ИНЖЕНЕРНО-ТЕХНИЧЕСКОГО ОБЕСПЕЧЕНИЯ И СВЯЗИ ФЕДЕРАЛЬНОЙ СЛУЖБЫ ИСПОЛНЕНИЯ НАКАЗАНИЙ"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