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Иное толкование заявителем жалобы норм материального права не свидетельствует о неправильном применении их судами с учетом 2 установленных обстоятельств дела.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имущественных отношений Санкт-Петербурга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