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ФИО1 обратился в Арбитражный суд Курганской области с иском, уточненным в порядке статьи 49 Арбитражного процессуального кодекса Российской Федерации, о взыскании с ООО «Колос» 320 000 рублей задолженности по договору на оказание транспортных услуг от 02.10.2017 № 02-10/17, 320 000 рублей неустойки, 15 000 рублей судебных расходов на оплату услуг представителя. Решением Арбитражного суда Курганской области от 30.06.2022 иск удовлетворен. Постановлением Восемнадцатого арбитражного апелляционного суда от 25.08.2022 решение суда первой инстанции оставлено без изменения. Арбитражный суд Уральского округа постановлением от 22.11.2022 указанные судебные акты оставил без изменения. ООО «Колос»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факт перехода к ответчику обязательств по оплате задолженности на основании трехстороннего договора о переводе долга и признав доказанным наличие у ответчика задолженности по оплате оказанных услуг, руководствуясь положениями статей 309 , 310 , 329 , 330 , 391 , 779 , 781 Гражданского кодекса Российской Федерации, суды пришли к выводу об обоснованности иска, отклонив довод ответчика о пропуске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"Колос"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