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направлении дела на новое рассмотрение судом округа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Отменяя принятые судебные акты и направляя дело на новое рассмотрение в суд первой инстанции для установления всех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суд округа действовал в пределах полномочий, предусмотренных статьями 286 – 288 Арбитражного процессуального кодекса Российской Федерации. При этом суд округа не предрешил исход спора, в связи с чем при новом рассмотрении дела податель жалобы не лишен возможности изложить свои доводы и представить соответствующие доказательства, обосновывающие его позицию.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"Вектор" (подробнее) Ответчики: Управление Федеральной налоговой службы по Магаданской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