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жилищно-строительный кооператив «Космос-4» (далее – Кооператив) обратился в Арбитражный суд города Москвы с исковым заявлением к индивидуальному предпринимателю Шашурину Василию Юрьевичу (далее – Предприниматель) о взыскании 1 584 406 рублей 55 копеек неосновательного обогащения, 74 411 рублей 22 копеек процентов за пользование чужими денежными средствами, 184 рублей 49 копеек процентов за каждый день с 05.05.2021 по дату исполнения обязательств. Решением Арбитражного суда города Москвы от 07.04.2022, оставленным без изменения постановлением Девятого арбитражного апелляционного суда от 07.07.2022 и постановлением Арбитражного суда Московского округа от 11.10.2022,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спорные платежи не могут квалифицироваться как неосновательное обогащение, поскольку 2 осуществлялись в рамках заключенного договора за оказание услуг; договор не признан недействительным, срок исковой давности для признания его недействительным истек.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 обоснование требований истец указал, что за период с 01.02.2018 по 05.02.2020 по договору от 01.08.2017, заключенному между Кооперативом и Предпринимателем на расчетный счет последнего переведено 934 876 рублей 55 копеек при отсутствии решений общих собраний об утверждении смет расходов истца. Также в период с 10.07.2018 по 02.08.2019 Предприниматель осуществил текущий ремонты без смет, утвержденных на общем собрании собственников жилья на сумму 649 530 рублей. Между тем расходы на работы по управлению домом относятся к расходам, производимым за счет членских взносов, поступающим на расчетный счет Кооператива, соответственно, должны быть внесены в смету, которая согласно пункту 4.1.3 Устава истца утверждается один раз в год на общем собрании, а согласно пункту 4.1.4 на основе принятой сметы устанавливаются размеры платежей и членских взносов на год для каждого члена кооператива в соответствии с его долей участия в праве общей собственности на общее имущество. Данные сметы на текущий ремонт, как указал истец, на общие собрания собственников жилья не утверждались. Исследовав и оценив по правилам статьи 71 АПК РФ представленные доказательства, руководствуясь статьями 307, 309, 310, 314, 327, 395, 779, 781, 1102, 1107, 1109 Гражданского кодекса Российской Федерации, частью 6 статьи 155 Жилищного кодекса Российской Федерации, суды удовлетворили заявленные требования, установив, что Предпринимателю были перечислены указанные денежные средства без подтверждения реальности оказания услуг, а также в отсутствие решений об утверждении смет расходов принятых общим собранием собственников жилых помещений.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3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Шашурина Василия Юрьевича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