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Карелия от 18.04.2022, оставленным без изменения постановлением Тринадцатого арбитражного апелляционного суда от 11.07.2022 и постановлением Арбитражного суда Северо-Западного округа от 13.10.2022, взыскано 533 000 рублей убытков. В кассационной жалобе предприниматель просит об отмене судебных актов, ссылаясь на отсутствие обязательственных правоотношений с истцом.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предприниматель принял груз по товарно- транспортной накладной от 04.03.2020, удостоверяющей заключение договора перевозки, убытки вследствие утраты груза при которой суд обязал возместить предпринимателя в силу статей 15, 393, 796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Скакуну И.М.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