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«Форест Грин» (далее – общество) обратилось в суд с заявлением о включении в реестр требований кредиторов должника (далее – реестр) требования в размере 183 160 897 рублей 10 копеек. Определением Арбитражного суда города Санкт – Петербурга и Ленинградской области от 24.08.2018 требование в заявленном размере признано обоснованным с отнесением в третью очередь удовлетворения требований кредиторов. Определением Тринадцатого арбитражного апелляционного суда от 28.03.2022 произведена замена кредитора – общества на индивидуального предпринимателя Задунаева Алексея Юрьевича. Не согласившись с определением суда первой инстанции от 24.08.2018, Сабадаш А.В. обратился с апелляционной жалобой. Постановлением Тринадцатого арбитражного апелляционного суда от 11.07.2022, оставленным без изменения постановлением Арбитражного суда Северо-Западного округа от 06.12.2022, определение суда первой инстанции от 24.08.2018 оставлено без изменения.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апелляционный суд 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исходили из обоснованности требования общества к должнику по праву и размеру, в связи с чем включили его в третью очередь реестра. Выводы судов соответствуют нормам права, оснований для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Сабадашу Александру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