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Костромской области от 06.05.2022, оставленным без изменения постановлением Второго арбитражного апелляционного суда от 06.07.2022 и постановлением Арбитражного суда Волго-Вятского округа от 10.11.2022, в удовлетворении заявления Соколова Н.М. об исправлении описки, допущенной в определении Арбитражного суда Костромской области от 15.03.2022, отказано. В кассационной жалобе Соколов Н.М. просит отменить судебные акты как незаконные.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2 Таких оснований в связи с доводами жалобы не усматривается. Изменение существа мотивировочной части определения, требуемое Соколовым Н.М., не попадает под случаи применения статьи 179 Арбитражного процессуального кодекса Российской Федерации, поэтому заявление правомерно отклонено.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