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заявлением, в котором просила включить в реестр требований кредиторов должника (далее – реестр): 1) требование в размере 53 000 000 рублей – основного долга, 11 879 331 рубля 69 копеек – процентов за пользование займом, 6 264 426 рублей 22 копеек неустойки по договору предоставления заемной линии от 15.04.2019 № ЧК/3Л-19-008 (далее – договор предоставления заёмной линии), как обеспеченные залогом имущества по договору от 26.02.2020 № ЧК-3И-19- 008; 2) требование в размере 55 211 467 рублей основного долга, 14 500 864 рублей 71 копейки процентов за пользование займом, полученное от индивидуального предпринимателя Мериновича Юрия Владимировича по договору цессии от 14.01.2021 № ЧК-Ц-21-001 (далее – договор цессии). Определением Арбитражного суда города Санкт-Петербурга и Ленинградской области от 22.03.2022, оставленным без изменения постановлением Тринадцатого арбитражного апелляционного суда от 04.08.2022, заявление удовлетворено частично. Требование из договора предоставления заёмной линии в размере 71 143 757 рублей 91 копейки признано обоснованным и включено в третью очередь реестра, как 2 обеспеченное залогом имущества, в удовлетворении заявления в остальной части отказано. Постановлением Арбитражного суда Северо-Западного округа от 09.11.2022 принятые по спору судебные акты в части удовлетворения заявления компании отменены, в удовлетворении заявления о признании требования из договора предоставления заёмной линии в размере 71 143 757 рублей 91 копейки обеспеченным залогом имущества должника отказано. В остальной части принятые по спору определение суда первой инстанции от 22.03.2022 и постановление апелляционного суда от 04.08.2022 оставлены без изменения. В кассационной жалобе, поданной в Верховный Суд Российской Федерации, заявитель просит отменить постановление суда округа. Заявитель также просит отменить определение суда первой инстанции и постановление апелляционного суда в части отказа в признании обоснованным и включении в реестр требования из договора цессии в размере 55 211 467 рублей основного долга, 14 500 864 рублей 71 копейки процентов за пользование займом, принять в данной части новый судебный акт о признании обоснованным и включении данного требования в реестр. В части выводов об обоснованности требования из договора предоставления заёмной линии и очерёдности его удовлетворения заявитель просит оставить принятые судами первой и апелляционной инстанции определение и постановление без изменения.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382, 384, 414 Гражданского кодекса Российской Федерации, статьями 71, 100 Федерального закона от 26.10.2002 № 127-ФЗ «О несостоятельности (банкротстве)», исходили из недоказанности компанией обоснованности своего требования из договора цессии и неподтверждённости факта уступки ей реального имущественного права требования к должнику. Отменяя принятые по спору судебные акты в обжалуемой части, суд округа, руководствуясь положениями статьи 339.1 Гражданского кодекса Российской Федерации, исходил из отсутствия в деле доказательств соответствующей регистрации права залога движимого имущества либо осведомленности об этом иных кредиторов, что является препятствием для 3 признания требования компании из договора предоставления заёмной линии обеспеченным залогом имущества должника.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Микрокредитная компания «Частный кредит»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