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 целом доводы кассационной жалобы направлены на переоценку доказательств и установление иных обстоятельств по делу, отличных от 2 установленных судами, что не входит в полномочия кассационной инстанции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«Компас-Р»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