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Костромской области от 07.06.2022, оставленным без изменения постановлениями Второго арбитражного апелляционного суда от 04.08.2022 и Арбитражного суда Волго-Вятского округа от 14.11.2022, отказано в удовлетворении заявления Соколова Н.М. об исправлении опечатки в определении Арбитражного суда Костромской области от 17.05.2022.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ходатайства об исправлении опечатки, суд первой инстанции, руководствуясь положениями статьи 179 Арбитражного процессуального кодекса Российской Федерации, исходил из отсутствия причин для удовлетворения требований по заявленным основаниям.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