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03.08.2022, оставленным без изменения постановлением Арбитражного суда Волго-Вятского округа от 14.11.2022,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11.02.2022.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поддержали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