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определением Арбитражного суда Костромской области от 10.06.2022, оставленным без изменения постановлениями Второго арбитражного апелляционного суда от 04.08.2022 и Арбитражного суда Волго-Вятского округа от 14.11.2022, отказано в удовлетворении заявления Соколова Н.М. об исправлении опечатки в определении Арбитражного суда Костромской области от 25.05.2022. В кассационной жалобе, поданной в Верховный Суд Российской Федерации, заявитель выражает несогласие с указанными судебными актами. Основаниями для отмены или изменения Судебной коллегией Верховного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2 Между тем по результатам изучения состоявшихся по делу судебных актов и доводов кассационной жалобы таких оснований не установлено. Отказывая в удовлетворении ходатайства об исправлении опечатки, суд первой инстанции, руководствуясь положениями статьи 179 Арбитражного процессуального кодекса Российской Федерации, исходил из отсутствия причин для удовлетворения требований по заявленным основаниям. Суды апелляционной инстанции и округа поддержали выводы суда первой инстанции. Выводы судов соответствуют нормам права, оснований для переоценки этих выводов не имеется. Нарушений норм процессуального права, влекущих за собой безусловную отмену обжалуемых судебных актов, судами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Соколову Николаю Михайловичу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