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27.10.2021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Принимая во внимание положения части 3 статьи 291.5 Арбитражного процессуального кодекса Российской Федерации, согласно которым возвращение кассационной жалобы не препятствует повторному обращению с кассационной жалобой после устранения обстоятельств, послуживших основанием для ее возвращения, учитывая своевременное направление первоначальной жалобы (08.10.2021), а также оперативное устранение заявителем причин, послуживших основанием для возврата первоначально поданной жалобы, в целях обеспечения процессуальных гарантий, вытекающих из права на судебную защиту, включающего и право на обжалование судебных постановлений, ходатайство о восстановлении срока подлежит удовлетворению, пропущенный срок подлежит восстановлению.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казенного военного образовательного учреждения высшего образования «Санкт-Петербургский военный институт войск национальной гвардии Российской Федерации»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 Суд: Верховный Суд РФ (подробнее) Истцы: ФЕДЕРАЛЬНОЕ ГОСУДАРСТВЕННОЕ КАЗЕННОЕ ВОЕННОЕ ОБРАЗОВАТЕЛЬНОЕ УЧРЕЖДЕНИЕ ВЫСШЕГО ОБРАЗОВАНИЯ "Санкт-ПетербургСКИЙ ВОЕННЫЙ ИНСТИТУТ ВОЙСК НАЦИОНАЛЬНОЙ ГВАРДИИ РОССИЙСКОЙ ФЕДЕРАЦИИ" (подробнее) Ответчики: ООО "Питерстройком" (подробнее) Судьи дела: Першутов А.Г. (судья) (подробнее) Последние документы по делу: Определение от 8 февраля 2023 г. по делу № А56-95357/2019 Определение от 24 февраля 2022 г. по делу № А56-95357/2019 Определение от 8 февраля 2022 г. по делу № А56-95357/2019 Определение от 1 ноября 2021 г. по делу № А56-95357/2019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