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Самсоновой Евгении Степановны определением Арбитражного суда Московской области от 20.06.2022 завершена процедура реализации имущества гражданина, должник освобождена от дальнейшего исполнения требований кредиторов, в том числе требований, не заявленных в ходе проведения процедуры банкротства. Постановлением Десятого арбитражного апелляционного суда от 26.08.2022 определение суда первой инстанции оставлено без изменения. Арбитражный суд Московского округа постановлением от 14.11.2022 указанные судебные акты оставил без изменения. КПК «ПрофАльянс» обратился в Судебную коллегию Верховного Суда Российской Федерации с кассационной жалобой на принятые по делу судебные акты в части применения к должнику правила об освобождении от дальнейшего исполнения обязательств перед потребительским кооперативом,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установили завершение всех мероприятий в процедуре реализации имущества гражданина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поведения, умышленного уклонения от исполнения обязательств перед кредитором, не установив признаков преднамеренного 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