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01.02.2023 обратился в Верховный Суд Российской Федерации с жалобой на определение судьи Верховного Суда Российской Федерации от 29.12.2022 № 305-ЭС22-27091, решение Арбитражного суда Московской области от 18.04.2022, постановление Десятого арбитражного апелляционного суда от 04.07.2022 и постановление Арбитражного суда Московского округа от 24.10.2022 по делу № А41-74774/2021,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23.01.2023.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«Ю.Эс.Бразерс»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