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включении в конкурсную массу квартиры площадью 67,2 кв.м., расположенной по адресу: г. Псков, ул. Алтаева, д. 18, кв. 49 (далее – спорная квартира). Определением Арбитражного суда Псковской области от 20.07.2022, оставленным без изменения постановлениями Четырнадцатого арбитражного апелляционного суда от 16.09.2022 и Арбитражного суда Северо-Западного округа от 26.11.2022,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статьёй 446 Гражданского процессуального кодекса Российской Федерации, статьями 213.25, 213.26 Федерального закона от 26.10.2002 № 127-ФЗ «О несостоятельности (банкротстве)», позицией Конституционного Суда Российской Федерации, изложенной в постановлении от 26.04.2021 № 15-П, признали недоказанным наличие оснований для включения в конкурсную массу спорной квартиры, обладающей квалифицирующими признаками единственного пригодного для проживания должника и его супруги жилого помещения. Выводы судов соответствуют нормам права, оснований для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Малинина Вадима Николаевича – Шерстневу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